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7" w:type="dxa"/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89"/>
        <w:gridCol w:w="728"/>
        <w:gridCol w:w="1428"/>
        <w:gridCol w:w="1512"/>
        <w:gridCol w:w="50"/>
        <w:gridCol w:w="2246"/>
        <w:gridCol w:w="2246"/>
        <w:gridCol w:w="2167"/>
        <w:gridCol w:w="1849"/>
        <w:gridCol w:w="1902"/>
        <w:gridCol w:w="50"/>
      </w:tblGrid>
      <w:tr w:rsidR="004D01EC" w:rsidRPr="004D01EC" w:rsidTr="004D01EC">
        <w:tc>
          <w:tcPr>
            <w:tcW w:w="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1725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85-31-25367</w:t>
            </w: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Центральный федеральный округ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31 Белгородская область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Тростенецкая</w:t>
            </w:r>
            <w:proofErr w:type="spellEnd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Новооскольского</w:t>
            </w:r>
            <w:proofErr w:type="spellEnd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 xml:space="preserve"> района Белгородской области»</w:t>
            </w:r>
          </w:p>
        </w:tc>
        <w:tc>
          <w:tcPr>
            <w:tcW w:w="2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 xml:space="preserve">309623, Белгородская область </w:t>
            </w:r>
            <w:proofErr w:type="spellStart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Новооскольский</w:t>
            </w:r>
            <w:proofErr w:type="spellEnd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 xml:space="preserve"> район село </w:t>
            </w:r>
            <w:proofErr w:type="spellStart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Тростенец</w:t>
            </w:r>
            <w:proofErr w:type="spellEnd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 xml:space="preserve"> улица Школьная , 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В качестве </w:t>
            </w:r>
            <w:r w:rsidRPr="004D01EC">
              <w:rPr>
                <w:rFonts w:ascii="SourceSansPro-Regular" w:eastAsia="Times New Roman" w:hAnsi="SourceSansPro-Regular" w:cs="Times New Roman"/>
                <w:b/>
                <w:bCs/>
                <w:color w:val="212529"/>
                <w:sz w:val="18"/>
                <w:szCs w:val="18"/>
                <w:lang w:eastAsia="ru-RU"/>
              </w:rPr>
              <w:t>структурного</w:t>
            </w: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 подразделения образовательной организации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Школьный спортивный клуб "</w:t>
            </w:r>
            <w:proofErr w:type="gramStart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Сильные</w:t>
            </w:r>
            <w:proofErr w:type="gramEnd"/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, смелые, ловкие"</w:t>
            </w:r>
          </w:p>
        </w:tc>
        <w:tc>
          <w:tcPr>
            <w:tcW w:w="1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  <w:r w:rsidRPr="004D01EC"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  <w:t>25 августа 2021 г. №132, протокол №1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</w:p>
        </w:tc>
      </w:tr>
      <w:tr w:rsidR="004D01EC" w:rsidRPr="004D01EC" w:rsidTr="004D01EC">
        <w:tc>
          <w:tcPr>
            <w:tcW w:w="300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SourceSansPro-Regular" w:eastAsia="Times New Roman" w:hAnsi="SourceSansPro-Regular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8F9FA"/>
            <w:vAlign w:val="center"/>
            <w:hideMark/>
          </w:tcPr>
          <w:p w:rsidR="004D01EC" w:rsidRPr="004D01EC" w:rsidRDefault="004D01EC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6A68" w:rsidRDefault="00106A68"/>
    <w:sectPr w:rsidR="00106A68" w:rsidSect="004D01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1EC"/>
    <w:rsid w:val="00106A68"/>
    <w:rsid w:val="004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2023-08-19T17:10:00Z</dcterms:created>
  <dcterms:modified xsi:type="dcterms:W3CDTF">2023-08-19T17:12:00Z</dcterms:modified>
</cp:coreProperties>
</file>