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709"/>
        <w:gridCol w:w="4962"/>
      </w:tblGrid>
      <w:tr w:rsidR="00906EBA" w:rsidRPr="00A17EEC" w:rsidTr="00C5760D">
        <w:tc>
          <w:tcPr>
            <w:tcW w:w="4752" w:type="dxa"/>
          </w:tcPr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proofErr w:type="gram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Тростенецкая</w:t>
            </w:r>
            <w:proofErr w:type="spell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СОШ</w:t>
            </w:r>
            <w:proofErr w:type="gram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г. №2</w:t>
            </w:r>
          </w:p>
        </w:tc>
        <w:tc>
          <w:tcPr>
            <w:tcW w:w="0" w:type="auto"/>
          </w:tcPr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906EBA" w:rsidRPr="006E0710" w:rsidRDefault="00906EBA" w:rsidP="00906EB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E8A5CA7" wp14:editId="7D11514D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1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приказом директора муниципального бюджетного общеобразовательного учреждения 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Тростенецкая</w:t>
            </w:r>
            <w:proofErr w:type="spell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Т.В.Терехова</w:t>
            </w:r>
            <w:proofErr w:type="spellEnd"/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г. №178</w:t>
            </w:r>
          </w:p>
          <w:p w:rsidR="00906EBA" w:rsidRPr="006E0710" w:rsidRDefault="00906EBA" w:rsidP="00906EBA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4ED5" w:rsidRPr="00906EBA" w:rsidRDefault="00906EBA" w:rsidP="00A17E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bookmarkStart w:id="0" w:name="_GoBack"/>
      <w:bookmarkEnd w:id="0"/>
      <w:r w:rsidRPr="00906EBA">
        <w:rPr>
          <w:lang w:val="ru-RU"/>
        </w:rPr>
        <w:br/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обучающихся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уставом Муниципального бюджетного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Тростенецкая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2.1. 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CE4ED5" w:rsidRPr="00906EBA" w:rsidRDefault="00906EBA" w:rsidP="00906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фамилия, имя, отчество (при наличии) обучающегося;</w:t>
      </w:r>
    </w:p>
    <w:p w:rsidR="00CE4ED5" w:rsidRDefault="00906EBA" w:rsidP="00906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ED5" w:rsidRDefault="00906EBA" w:rsidP="00906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E4ED5" w:rsidRPr="00906EBA" w:rsidRDefault="00906EBA" w:rsidP="00906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CE4ED5" w:rsidRDefault="00906EBA" w:rsidP="00906EB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углубленным изучением отдельных предметов или профильного </w:t>
      </w:r>
      <w:proofErr w:type="gram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</w:t>
      </w:r>
      <w:proofErr w:type="gram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приостановлении </w:t>
      </w:r>
      <w:proofErr w:type="gram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</w:t>
      </w:r>
      <w:proofErr w:type="gram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переводу 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906EBA">
        <w:rPr>
          <w:lang w:val="ru-RU"/>
        </w:rPr>
        <w:br/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3.3. 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3.5.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соответствующую образовательную программу учебного года.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прошедшие 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4.2. Перевод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подтверждении </w:t>
      </w:r>
      <w:proofErr w:type="gramStart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CE4ED5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E4ED5" w:rsidRPr="00906EBA" w:rsidRDefault="00906EBA" w:rsidP="00906EB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CE4ED5" w:rsidRDefault="00906EBA" w:rsidP="00906EB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ED5" w:rsidRDefault="00906EBA" w:rsidP="00906EB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CE4ED5" w:rsidRPr="00906EBA" w:rsidRDefault="00906EBA" w:rsidP="00906EB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приказе указываются реквизиты решения педагогического совета, которым рекомендовано повторное 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CE4ED5" w:rsidRPr="00906EBA" w:rsidRDefault="00906EBA" w:rsidP="00906EB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CE4ED5" w:rsidRDefault="00906EBA" w:rsidP="00906EB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ED5" w:rsidRDefault="00906EBA" w:rsidP="00906EB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E4ED5" w:rsidRPr="00906EBA" w:rsidRDefault="00906EBA" w:rsidP="00906EB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CE4ED5" w:rsidRDefault="00906EBA" w:rsidP="00906EB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ED5" w:rsidRPr="00906EBA" w:rsidRDefault="00906EBA" w:rsidP="00906EB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906EBA">
        <w:rPr>
          <w:lang w:val="ru-RU"/>
        </w:rPr>
        <w:br/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7.1. 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CE4ED5" w:rsidRPr="00906EBA" w:rsidRDefault="00906EBA" w:rsidP="00906E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CE4ED5" w:rsidRPr="00906EBA" w:rsidRDefault="00906EBA" w:rsidP="00906EB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государственной 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аккредитации по соответствующей образовательной программе или прекращения действия государственной аккредитации;</w:t>
      </w:r>
    </w:p>
    <w:p w:rsidR="00CE4ED5" w:rsidRPr="00906EBA" w:rsidRDefault="00906EBA" w:rsidP="00906EB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CE4ED5" w:rsidRPr="00906EBA" w:rsidRDefault="00906EBA" w:rsidP="00906EB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CE4ED5" w:rsidRPr="00906EBA" w:rsidRDefault="00906EBA" w:rsidP="00906EB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CE4ED5" w:rsidRPr="00906EBA" w:rsidRDefault="00906EBA" w:rsidP="00906E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CE4ED5" w:rsidRDefault="00906EBA" w:rsidP="00906E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4ED5" w:rsidRDefault="00906EBA" w:rsidP="00906E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CE4ED5" w:rsidRPr="00906EBA" w:rsidRDefault="00906EBA" w:rsidP="00906EB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906EBA">
        <w:rPr>
          <w:lang w:val="ru-RU"/>
        </w:rPr>
        <w:br/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CE4ED5" w:rsidRPr="00906EBA" w:rsidRDefault="00906EBA" w:rsidP="00906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6EBA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CE4ED5" w:rsidRPr="00906EBA" w:rsidSect="00906EBA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85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E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A4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10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A6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06EBA"/>
    <w:rsid w:val="00A17EEC"/>
    <w:rsid w:val="00B73A5A"/>
    <w:rsid w:val="00CE4ED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240D"/>
  <w15:docId w15:val="{5D41423F-8D43-4D3F-9B9C-E5B8FBC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3598</Words>
  <Characters>20514</Characters>
  <Application>Microsoft Office Word</Application>
  <DocSecurity>0</DocSecurity>
  <Lines>170</Lines>
  <Paragraphs>48</Paragraphs>
  <ScaleCrop>false</ScaleCrop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oTo</cp:lastModifiedBy>
  <cp:revision>3</cp:revision>
  <dcterms:created xsi:type="dcterms:W3CDTF">2011-11-02T04:15:00Z</dcterms:created>
  <dcterms:modified xsi:type="dcterms:W3CDTF">2023-09-20T20:57:00Z</dcterms:modified>
</cp:coreProperties>
</file>